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Custom"/>
        <w:spacing w:before="560" w:after="280"/>
        <w:jc w:val="center"/>
      </w:pPr>
      <w:r>
        <w:t>ПУБЛИЧНАЯ ОФЕРТА</w:t>
      </w:r>
    </w:p>
    <w:p>
      <w:pPr>
        <w:pStyle w:val="SubtitleCustom"/>
        <w:spacing w:after="360"/>
        <w:jc w:val="center"/>
      </w:pPr>
      <w:r>
        <w:t>о заключении смешанного договора на предоставление доступа к сервису «Маркет Автопилот» и оказание информационно-технических услуг</w:t>
      </w:r>
    </w:p>
    <w:p>
      <w:pPr>
        <w:spacing w:after="520"/>
        <w:jc w:val="center"/>
      </w:pPr>
      <w:r>
        <w:rPr>
          <w:rFonts w:ascii="Liberation Sans" w:hAnsi="Liberation Sans"/>
          <w:b/>
          <w:sz w:val="21"/>
        </w:rPr>
        <w:t>Редакция от 21 июня 2026 г.</w:t>
      </w:r>
    </w:p>
    <w:p>
      <w:pPr>
        <w:ind w:firstLine="454"/>
      </w:pPr>
      <w:r>
        <w:t>Индивидуальный предприниматель Билюкин Владимир Юрьевич, ОГРНИП 322774600423072, ИНН 771595864352, именуемый в дальнейшем «Исполнитель», предлагает юридическим лицам, индивидуальным предпринимателям и физическим лицам, применяющим специальный налоговый режим «Налог на профессиональный доход» и использующим сервис исключительно в предпринимательской деятельности, именуемым в дальнейшем «Пользователь», заключить настоящий договор на изложенных ниже условиях.</w:t>
      </w:r>
    </w:p>
    <w:p>
      <w:pPr>
        <w:ind w:firstLine="454"/>
      </w:pPr>
      <w:r>
        <w:t>Настоящий документ является публичной офертой в смысле статей 435 и 437 Гражданского кодекса Российской Федерации. Совершение действий, указанных в разделе 2 настоящей Оферты, признается полным и безоговорочным акцептом в соответствии со статьей 438 Гражданского кодекса Российской Федерации.</w:t>
      </w:r>
    </w:p>
    <w:p>
      <w:pPr>
        <w:ind w:firstLine="454"/>
      </w:pPr>
      <w:r>
        <w:t>Сервис не предназначен для приобретения и использования в личных, семейных, домашних и иных целях, не связанных с предпринимательской деятельностью.</w:t>
      </w:r>
    </w:p>
    <w:p>
      <w:pPr>
        <w:jc w:val="center"/>
      </w:pPr>
      <w:r>
        <w:rPr>
          <w:color w:val="787878"/>
          <w:sz w:val="20"/>
        </w:rPr>
        <w:t>•  •  •</w:t>
      </w:r>
    </w:p>
    <w:p>
      <w:pPr>
        <w:pStyle w:val="HeadingCustom"/>
        <w:pageBreakBefore w:val="0"/>
      </w:pPr>
      <w:r>
        <w:t>1. Термины и определения</w:t>
      </w:r>
    </w:p>
    <w:p>
      <w:pPr>
        <w:ind w:left="0" w:firstLine="0"/>
      </w:pPr>
      <w:r>
        <w:rPr>
          <w:b/>
        </w:rPr>
        <w:t xml:space="preserve">1.1. «Сервис» или «Маркет Автопилот» — </w:t>
      </w:r>
      <w:r>
        <w:t>программно-информационный сервис, доступный по адресу https://market-autopilot.ru, предназначенный для автоматизации и аналитического сопровождения работы продавцов на маркетплейсе Яндекс Маркет.</w:t>
      </w:r>
    </w:p>
    <w:p>
      <w:pPr>
        <w:ind w:left="0" w:firstLine="0"/>
      </w:pPr>
      <w:r>
        <w:rPr>
          <w:b/>
        </w:rPr>
        <w:t xml:space="preserve">1.2. «Сайт» — </w:t>
      </w:r>
      <w:r>
        <w:t>совокупность страниц и программных компонентов по адресу https://market-autopilot.ru, включая личный кабинет, страницы регистрации, подписки, реквизитов и иные разделы.</w:t>
      </w:r>
    </w:p>
    <w:p>
      <w:pPr>
        <w:ind w:left="0" w:firstLine="0"/>
      </w:pPr>
      <w:r>
        <w:rPr>
          <w:b/>
        </w:rPr>
        <w:t xml:space="preserve">1.3. «Пользователь» — </w:t>
      </w:r>
      <w:r>
        <w:t>юридическое лицо, индивидуальный предприниматель либо плательщик налога на профессиональный доход, акцептовавший Оферту и использующий Сервис в предпринимательской деятельности.</w:t>
      </w:r>
    </w:p>
    <w:p>
      <w:pPr>
        <w:ind w:left="0" w:firstLine="0"/>
      </w:pPr>
      <w:r>
        <w:rPr>
          <w:b/>
        </w:rPr>
        <w:t xml:space="preserve">1.4. «Аккаунт» — </w:t>
      </w:r>
      <w:r>
        <w:t>учетная запись Пользователя, создаваемая для доступа к Сервису.</w:t>
      </w:r>
    </w:p>
    <w:p>
      <w:pPr>
        <w:ind w:left="0" w:firstLine="0"/>
      </w:pPr>
      <w:r>
        <w:rPr>
          <w:b/>
        </w:rPr>
        <w:t xml:space="preserve">1.5. «Тариф» — </w:t>
      </w:r>
      <w:r>
        <w:t>набор функций, лимитов, срока доступа и стоимости, опубликованный в разделе подписки на Сайте.</w:t>
      </w:r>
    </w:p>
    <w:p>
      <w:pPr>
        <w:ind w:left="0" w:firstLine="0"/>
      </w:pPr>
      <w:r>
        <w:rPr>
          <w:b/>
        </w:rPr>
        <w:t xml:space="preserve">1.6. «Расчетный период» — </w:t>
      </w:r>
      <w:r>
        <w:t>оплаченный период доступа к Сервису, установленный выбранным Тарифом.</w:t>
      </w:r>
    </w:p>
    <w:p>
      <w:pPr>
        <w:ind w:left="0" w:firstLine="0"/>
      </w:pPr>
      <w:r>
        <w:rPr>
          <w:b/>
        </w:rPr>
        <w:t xml:space="preserve">1.7. «Яндекс Маркет» — </w:t>
      </w:r>
      <w:r>
        <w:t>информационная система и маркетплейс, с которым Пользователь состоит в самостоятельных договорных отношениях.</w:t>
      </w:r>
    </w:p>
    <w:p>
      <w:pPr>
        <w:ind w:left="0" w:firstLine="0"/>
      </w:pPr>
      <w:r>
        <w:rPr>
          <w:b/>
        </w:rPr>
        <w:t xml:space="preserve">1.8. «Business ID» — </w:t>
      </w:r>
      <w:r>
        <w:t>идентификатор бизнеса Пользователя в Яндекс Маркете.</w:t>
      </w:r>
    </w:p>
    <w:p>
      <w:pPr>
        <w:ind w:left="0" w:firstLine="0"/>
      </w:pPr>
      <w:r>
        <w:rPr>
          <w:b/>
        </w:rPr>
        <w:t xml:space="preserve">1.9. «API-ключ» или «API-токен» — </w:t>
      </w:r>
      <w:r>
        <w:t>созданный Пользователем набор данных для программного взаимодействия с Яндекс Маркетом в пределах разрешений, самостоятельно предоставленных Пользователем.</w:t>
      </w:r>
    </w:p>
    <w:p>
      <w:pPr>
        <w:ind w:left="0" w:firstLine="0"/>
      </w:pPr>
      <w:r>
        <w:rPr>
          <w:b/>
        </w:rPr>
        <w:t xml:space="preserve">1.10. «Пользовательские настройки» — </w:t>
      </w:r>
      <w:r>
        <w:t>выбранные Пользователем параметры работы Сервиса, включая перечень товаров, режимы автоматизации, предельные ставки, бюджеты, ограничения и условия применения действий.</w:t>
      </w:r>
    </w:p>
    <w:p>
      <w:pPr>
        <w:ind w:left="0" w:firstLine="0"/>
      </w:pPr>
      <w:r>
        <w:rPr>
          <w:b/>
        </w:rPr>
        <w:t xml:space="preserve">1.11. «Автоматические действия» — </w:t>
      </w:r>
      <w:r>
        <w:t>изменения настроек продвижения и иные операции, выполняемые Сервисом через программные интерфейсы Яндекс Маркета в пределах Пользовательских настроек.</w:t>
      </w:r>
    </w:p>
    <w:p>
      <w:pPr>
        <w:ind w:left="0" w:firstLine="0"/>
      </w:pPr>
      <w:r>
        <w:rPr>
          <w:b/>
        </w:rPr>
        <w:t xml:space="preserve">1.12. «Документация» — </w:t>
      </w:r>
      <w:r>
        <w:t>инструкции, подсказки и справочные материалы, опубликованные на Сайте или внутри Сервиса.</w:t>
      </w:r>
    </w:p>
    <w:p>
      <w:pPr>
        <w:pStyle w:val="HeadingCustom"/>
        <w:pageBreakBefore w:val="0"/>
      </w:pPr>
      <w:r>
        <w:t>2. Акцепт Оферты и заключение Договора</w:t>
      </w:r>
    </w:p>
    <w:p>
      <w:pPr>
        <w:ind w:firstLine="454"/>
      </w:pPr>
      <w:r>
        <w:t>2.1. Акцептом Оферты признается совокупность следующих действий: регистрация Аккаунта, проставление отметки о согласии с Офертой и Политикой обработки персональных данных, а для платного Тарифа — также оплата выбранного Тарифа.</w:t>
      </w:r>
    </w:p>
    <w:p>
      <w:pPr>
        <w:ind w:firstLine="454"/>
      </w:pPr>
      <w:r>
        <w:t>2.2. Если Пользователю предоставлен бесплатный или тестовый доступ, Договор считается заключенным с момента начала использования функций Сервиса после подтверждения согласия с Офертой.</w:t>
      </w:r>
    </w:p>
    <w:p>
      <w:pPr>
        <w:ind w:firstLine="454"/>
      </w:pPr>
      <w:r>
        <w:t>2.3. Акцептуя Оферту, лицо подтверждает наличие необходимых полномочий, достоверность предоставленных данных, предпринимательский характер использования Сервиса и ознакомление с функционалом, ограничениями и условиями выбранного Тарифа.</w:t>
      </w:r>
    </w:p>
    <w:p>
      <w:pPr>
        <w:ind w:firstLine="454"/>
      </w:pPr>
      <w:r>
        <w:t>2.4. Договор заключается в электронной форме и не требует подписания единого бумажного документа. Данные Аккаунта, электронная почта, действия в личном кабинете и сведения платежной системы могут использоваться для подтверждения заключения и исполнения Договора.</w:t>
      </w:r>
    </w:p>
    <w:p>
      <w:pPr>
        <w:pStyle w:val="HeadingCustom"/>
        <w:pageBreakBefore w:val="0"/>
      </w:pPr>
      <w:r>
        <w:t>3. Предмет Договора</w:t>
      </w:r>
    </w:p>
    <w:p>
      <w:pPr>
        <w:ind w:firstLine="454"/>
      </w:pPr>
      <w:r>
        <w:t>3.1. Исполнитель предоставляет Пользователю удаленный доступ к функциональным возможностям Сервиса в пределах выбранного Тарифа, а также оказывает связанные информационно-технические услуги. Пользователь принимает предоставленный доступ и оплачивает его на условиях Оферты.</w:t>
      </w:r>
    </w:p>
    <w:p>
      <w:pPr>
        <w:ind w:firstLine="454"/>
      </w:pPr>
      <w:r>
        <w:t>3.2. Сервис может включать: получение данных о товарах, заказах и продвижении; расчет и отображение аналитических показателей; формирование рекомендаций; уведомления; автоматическое либо полуавтоматическое управление настройками продвижения в пределах установленных Пользователем ограничений; иные функции, указанные на Сайте.</w:t>
      </w:r>
    </w:p>
    <w:p>
      <w:pPr>
        <w:ind w:firstLine="454"/>
      </w:pPr>
      <w:r>
        <w:t>3.3. Конкретный состав функций, лимитов и срок доступа определяется Тарифом и интерфейсом Сервиса на момент оплаты. Функции, прямо не включенные в Тариф, не считаются обязанностью Исполнителя.</w:t>
      </w:r>
    </w:p>
    <w:p>
      <w:pPr>
        <w:ind w:firstLine="454"/>
      </w:pPr>
      <w:r>
        <w:t>3.4. Исполнитель не является представителем, агентом или сотрудником Яндекс Маркета и не выступает стороной договора между Пользователем и Яндекс Маркетом.</w:t>
      </w:r>
    </w:p>
    <w:p>
      <w:pPr>
        <w:ind w:firstLine="454"/>
      </w:pPr>
      <w:r>
        <w:t>3.5. Сервис является инструментом автоматизации и поддержки принятия решений. Исполнитель не гарантирует рост продаж, выручки, прибыли, позиции товаров, снижение комиссий или достижение иных коммерческих показателей.</w:t>
      </w:r>
    </w:p>
    <w:p>
      <w:pPr>
        <w:pStyle w:val="HeadingCustom"/>
        <w:pageBreakBefore w:val="0"/>
      </w:pPr>
      <w:r>
        <w:t>4. Регистрация и безопасность Аккаунта</w:t>
      </w:r>
    </w:p>
    <w:p>
      <w:pPr>
        <w:ind w:firstLine="454"/>
      </w:pPr>
      <w:r>
        <w:t>4.1. Пользователь самостоятельно создает Аккаунт и указывает достоверные сведения, включая действующий адрес электронной почты и иные данные, запрошенные при регистрации.</w:t>
      </w:r>
    </w:p>
    <w:p>
      <w:pPr>
        <w:ind w:firstLine="454"/>
      </w:pPr>
      <w:r>
        <w:t>4.2. Пользователь обязан сохранять в тайне пароль, коды подтверждения и иные средства доступа. Все действия, совершенные в Аккаунте после успешной авторизации, считаются совершенными Пользователем, пока не доказано иное.</w:t>
      </w:r>
    </w:p>
    <w:p>
      <w:pPr>
        <w:ind w:firstLine="454"/>
      </w:pPr>
      <w:r>
        <w:t>4.3. При подозрении на утрату доступа или компрометацию учетных данных Пользователь обязан незамедлительно изменить пароль и уведомить Исполнителя по электронной почте resheniya.for.business@yandex.ru.</w:t>
      </w:r>
    </w:p>
    <w:p>
      <w:pPr>
        <w:ind w:firstLine="454"/>
      </w:pPr>
      <w:r>
        <w:t>4.4. Пользователь несет ответственность за действия своих работников, представителей и иных лиц, которым он предоставил доступ к Аккаунту.</w:t>
      </w:r>
    </w:p>
    <w:p>
      <w:pPr>
        <w:ind w:firstLine="454"/>
      </w:pPr>
      <w:r>
        <w:t>4.5. Исполнитель вправе применять обязательную смену пароля, ограничение сессий, дополнительную проверку входа и иные разумные меры защиты.</w:t>
      </w:r>
    </w:p>
    <w:p>
      <w:pPr>
        <w:pStyle w:val="HeadingCustom"/>
        <w:pageBreakBefore w:val="0"/>
      </w:pPr>
      <w:r>
        <w:t>5. Интеграция с Яндекс Маркетом и использование API</w:t>
      </w:r>
    </w:p>
    <w:p>
      <w:pPr>
        <w:ind w:firstLine="454"/>
      </w:pPr>
      <w:r>
        <w:t>5.1. Для работы отдельных функций Пользователь самостоятельно создает API-ключ и предоставляет Сервису разрешения в объеме, необходимом для выбранных функций. Исполнитель не требует прав, не связанных с оказанием услуг по Договору.</w:t>
      </w:r>
    </w:p>
    <w:p>
      <w:pPr>
        <w:ind w:firstLine="454"/>
      </w:pPr>
      <w:r>
        <w:t>5.2. Подключая API-ключ, Пользователь поручает Исполнителю с использованием Сервиса получать и обрабатывать в пределах выданных разрешений сведения о товарах, остатках, ценах, заказах, продвижении, фактически списанных ставках, финансовых и аналитических показателях, а также передавать в Яндекс Маркет команды, прямо предусмотренные Пользовательскими настройками.</w:t>
      </w:r>
    </w:p>
    <w:p>
      <w:pPr>
        <w:ind w:firstLine="454"/>
      </w:pPr>
      <w:r>
        <w:t>5.3. Пользователь подтверждает, что имеет законные основания для передачи данных и предоставления доступа к кабинету Яндекс Маркета, а также что подключаемый Business ID принадлежит Пользователю либо используется им на законном основании.</w:t>
      </w:r>
    </w:p>
    <w:p>
      <w:pPr>
        <w:ind w:firstLine="454"/>
      </w:pPr>
      <w:r>
        <w:t>5.4. Пользователь самостоятельно определяет состав разрешений API-ключа, следит за его актуальностью и вправе в любое время отозвать ключ. Отзыв, истечение срока, изменение разрешений или блокировка ключа могут привести к полной или частичной остановке функций Сервиса без приостановления оплаченного периода, если причина находится вне контроля Исполнителя.</w:t>
      </w:r>
    </w:p>
    <w:p>
      <w:pPr>
        <w:ind w:firstLine="454"/>
      </w:pPr>
      <w:r>
        <w:t>5.5. API-ключ относится к конфиденциальной информации. Исполнитель принимает разумные организационные и технические меры для ограничения доступа к нему и использует его только для исполнения Договора.</w:t>
      </w:r>
    </w:p>
    <w:p>
      <w:pPr>
        <w:ind w:firstLine="454"/>
      </w:pPr>
      <w:r>
        <w:t>5.6. Изменение Яндекс Маркетом API, правил, тарифов, комиссий, рекламных механик или доступности данных может потребовать изменения функций Сервиса и не является нарушением со стороны Исполнителя.</w:t>
      </w:r>
    </w:p>
    <w:p>
      <w:pPr>
        <w:pStyle w:val="HeadingCustom"/>
        <w:pageBreakBefore w:val="0"/>
      </w:pPr>
      <w:r>
        <w:t>6. Автоматическое управление продвижением</w:t>
      </w:r>
    </w:p>
    <w:p>
      <w:pPr>
        <w:ind w:firstLine="454"/>
      </w:pPr>
      <w:r>
        <w:t>6.1. Автоматические действия выполняются только после их включения Пользователем и в пределах заданных им настроек, ограничений и перечня товаров.</w:t>
      </w:r>
    </w:p>
    <w:p>
      <w:pPr>
        <w:ind w:firstLine="454"/>
      </w:pPr>
      <w:r>
        <w:t>6.2. До включения автоматического режима Пользователь обязан проверить Business ID, кампании, товары, ставки, бюджеты, предельные значения и иные параметры. Пользователь обязан регулярно контролировать результаты и расходы в кабинете Яндекс Маркета и в Сервисе.</w:t>
      </w:r>
    </w:p>
    <w:p>
      <w:pPr>
        <w:ind w:firstLine="454"/>
      </w:pPr>
      <w:r>
        <w:t>6.3. Пользователь понимает, что изменение ставок, бюджетов, акций и иных параметров продвижения может повлечь увеличение или уменьшение расходов, изменение количества заказов, цены продажи, позиции товара и иных коммерческих результатов.</w:t>
      </w:r>
    </w:p>
    <w:p>
      <w:pPr>
        <w:ind w:firstLine="454"/>
      </w:pPr>
      <w:r>
        <w:t>6.4. Расходы на продвижение, комиссии и иные платежи Яндекс Маркету возникают непосредственно у Пользователя на основании его договора с Яндекс Маркетом. Исполнитель не получает и не удерживает такие суммы, если иное прямо не указано при подключении отдельной услуги.</w:t>
      </w:r>
    </w:p>
    <w:p>
      <w:pPr>
        <w:ind w:firstLine="454"/>
      </w:pPr>
      <w:r>
        <w:t>6.5. Пользователь вправе приостановить автоматические действия доступным в интерфейсе способом либо отозвать API-ключ. Исполнитель может временно приостановить автоматические действия при обнаружении технической ошибки, угрозы безопасности, аномального поведения или риска существенного ущерба.</w:t>
      </w:r>
    </w:p>
    <w:p>
      <w:pPr>
        <w:ind w:firstLine="454"/>
      </w:pPr>
      <w:r>
        <w:t>6.6. Рекомендации, прогнозы и расчеты Сервиса формируются на основании доступных данных и алгоритмов и не являются гарантией результата, бухгалтерской, налоговой, юридической, инвестиционной или рекламной консультацией.</w:t>
      </w:r>
    </w:p>
    <w:p>
      <w:pPr>
        <w:pStyle w:val="HeadingCustom"/>
        <w:pageBreakBefore w:val="0"/>
      </w:pPr>
      <w:r>
        <w:t>7. Права и обязанности Исполнителя</w:t>
      </w:r>
    </w:p>
    <w:p>
      <w:pPr>
        <w:ind w:firstLine="454"/>
      </w:pPr>
      <w:r>
        <w:t>7.1. Исполнитель обязан предоставить доступ к Сервису после подтверждения оплаты, если иное не предусмотрено Тарифом, и поддерживать работу Сервиса в разумных пределах.</w:t>
      </w:r>
    </w:p>
    <w:p>
      <w:pPr>
        <w:ind w:firstLine="454"/>
      </w:pPr>
      <w:r>
        <w:t>7.2. Исполнитель вправе обновлять Сервис, изменять интерфейс, алгоритмы и техническую архитектуру, если это не лишает Пользователя оплаченного основного функционала без равноценной замены.</w:t>
      </w:r>
    </w:p>
    <w:p>
      <w:pPr>
        <w:ind w:firstLine="454"/>
      </w:pPr>
      <w:r>
        <w:t>7.3. Исполнитель вправе привлекать подрядчиков и использовать услуги хостинга, платежных организаций, операторов связи, сервисов электронной почты, аналитики и иных технических поставщиков, оставаясь ответственным перед Пользователем за надлежащее исполнение собственных обязательств в предусмотренных законом пределах.</w:t>
      </w:r>
    </w:p>
    <w:p>
      <w:pPr>
        <w:ind w:firstLine="454"/>
      </w:pPr>
      <w:r>
        <w:t>7.4. Исполнитель вправе направлять Пользователю сервисные уведомления, необходимые для работы Аккаунта, безопасности, оплаты и исполнения Договора. Рекламные сообщения направляются только при наличии отдельного согласия, когда такое согласие требуется законом.</w:t>
      </w:r>
    </w:p>
    <w:p>
      <w:pPr>
        <w:ind w:firstLine="454"/>
      </w:pPr>
      <w:r>
        <w:t>7.5. Исполнитель вправе запрашивать сведения, необходимые для идентификации Пользователя, предотвращения мошенничества, исполнения требований закона и защиты Сервиса.</w:t>
      </w:r>
    </w:p>
    <w:p>
      <w:pPr>
        <w:pStyle w:val="HeadingCustom"/>
        <w:pageBreakBefore w:val="0"/>
      </w:pPr>
      <w:r>
        <w:t>8. Права и обязанности Пользователя</w:t>
      </w:r>
    </w:p>
    <w:p>
      <w:pPr>
        <w:ind w:firstLine="454"/>
      </w:pPr>
      <w:r>
        <w:t>8.1. Пользователь обязан своевременно оплачивать Тариф, предоставлять достоверные данные, соблюдать Документацию, правила Яндекс Маркета и законодательство Российской Федерации.</w:t>
      </w:r>
    </w:p>
    <w:p>
      <w:pPr>
        <w:ind w:firstLine="454"/>
      </w:pPr>
      <w:r>
        <w:t>8.2. Пользователь обязан самостоятельно проверять корректность исходных данных, Пользовательских настроек, результатов автоматических действий, сумм расходов и отчетов.</w:t>
      </w:r>
    </w:p>
    <w:p>
      <w:pPr>
        <w:ind w:firstLine="454"/>
      </w:pPr>
      <w:r>
        <w:t>8.3. Пользователь не вправе: передавать Аккаунт третьим лицам за плату; обходить ограничения Тарифа; вмешиваться в программный код; осуществлять декомпиляцию и обратную разработку, кроме прямо разрешенных законом случаев; создавать чрезмерную нагрузку; получать несанкционированный доступ; использовать Сервис для нарушения прав третьих лиц или правил Яндекс Маркета.</w:t>
      </w:r>
    </w:p>
    <w:p>
      <w:pPr>
        <w:ind w:firstLine="454"/>
      </w:pPr>
      <w:r>
        <w:t>8.4. Пользователь не вправе использовать Сервис для обработки данных, доступ к которым получен незаконно, либо для совершения действий, направленных на манипулирование маркетплейсом, обман покупателей или нарушение требований законодательства о рекламе и конкуренции.</w:t>
      </w:r>
    </w:p>
    <w:p>
      <w:pPr>
        <w:ind w:firstLine="454"/>
      </w:pPr>
      <w:r>
        <w:t>8.5. Пользователь вправе обращаться в поддержку, получать информацию о Тарифе, отключать автоматическое продление и прекращать использование Сервиса в порядке, установленном Офертой.</w:t>
      </w:r>
    </w:p>
    <w:p>
      <w:pPr>
        <w:pStyle w:val="HeadingCustom"/>
        <w:pageBreakBefore w:val="0"/>
      </w:pPr>
      <w:r>
        <w:t>9. Тарифы, оплата и автоматическое продление</w:t>
      </w:r>
    </w:p>
    <w:p>
      <w:pPr>
        <w:ind w:firstLine="454"/>
      </w:pPr>
      <w:r>
        <w:t>9.1. Актуальные Тарифы, их стоимость, срок и состав функций размещаются в разделе https://market-autopilot.ru/subscription. Стоимость указывается в рублях Российской Федерации.</w:t>
      </w:r>
    </w:p>
    <w:p>
      <w:pPr>
        <w:ind w:firstLine="454"/>
      </w:pPr>
      <w:r>
        <w:t>9.2. Оплата производится на условиях полной предоплаты способами, доступными на Сайте. Обязанность Пользователя по оплате считается исполненной после подтверждения успешного платежа платежной организацией или зачисления денежных средств на расчетный счет Исполнителя.</w:t>
      </w:r>
    </w:p>
    <w:p>
      <w:pPr>
        <w:ind w:firstLine="454"/>
      </w:pPr>
      <w:r>
        <w:t>9.3. Доступ активируется на срок выбранного Тарифа. Дата и время активации фиксируются информационной системой Исполнителя.</w:t>
      </w:r>
    </w:p>
    <w:p>
      <w:pPr>
        <w:ind w:firstLine="454"/>
      </w:pPr>
      <w:r>
        <w:t>9.4. Налоги и сведения о НДС указываются в расчетном или закрывающем документе в соответствии с применяемым Исполнителем налоговым режимом.</w:t>
      </w:r>
    </w:p>
    <w:p>
      <w:pPr>
        <w:ind w:firstLine="454"/>
      </w:pPr>
      <w:r>
        <w:t>9.5. Изменение стоимости Тарифов не влияет на уже оплаченный период. Новая цена применяется к следующей оплате.</w:t>
      </w:r>
    </w:p>
    <w:p>
      <w:pPr>
        <w:ind w:firstLine="454"/>
      </w:pPr>
      <w:r>
        <w:t>9.6. Автоматическое продление и периодические списания допускаются только после отдельного явного согласия Пользователя и подключения соответствующей функции. Пользователь вправе отключить автоматическое продление до даты следующего списания.</w:t>
      </w:r>
    </w:p>
    <w:p>
      <w:pPr>
        <w:ind w:firstLine="454"/>
      </w:pPr>
      <w:r>
        <w:t>9.7. Банковские комиссии и расходы, взимаемые банком Пользователя, несет Пользователь. Комиссии платежного сервиса, включенные в указанную на Сайте цену, несет Исполнитель, если на странице оплаты не указано иное.</w:t>
      </w:r>
    </w:p>
    <w:p>
      <w:pPr>
        <w:pStyle w:val="HeadingCustom"/>
        <w:pageBreakBefore w:val="0"/>
      </w:pPr>
      <w:r>
        <w:t>10. Возвраты и перерасчет</w:t>
      </w:r>
    </w:p>
    <w:p>
      <w:pPr>
        <w:ind w:firstLine="454"/>
      </w:pPr>
      <w:r>
        <w:t>10.1. После активации доступа стоимость оплаченного периода не возвращается только по причине того, что Пользователь не использовал Сервис, утратил интерес к нему, изменил настройки, отозвал API-ключ или не получил ожидаемый коммерческий результат.</w:t>
      </w:r>
    </w:p>
    <w:p>
      <w:pPr>
        <w:ind w:firstLine="454"/>
      </w:pPr>
      <w:r>
        <w:t>10.2. Возврат производится при ошибочном двойном списании, невозможности предоставить оплаченный доступ по вине Исполнителя либо в иных случаях, прямо предусмотренных законом или Офертой.</w:t>
      </w:r>
    </w:p>
    <w:p>
      <w:pPr>
        <w:ind w:firstLine="454"/>
      </w:pPr>
      <w:r>
        <w:t>10.3. Если по вине Исполнителя весь основной функционал оплаченного Тарифа был полностью недоступен непрерывно более 24 часов, Пользователь вправе потребовать продления доступа на соответствующий срок либо соразмерного возврата за период полной недоступности. Кратковременные сбои, плановые работы, недоступность отдельных функций и сбои третьих лиц не считаются полной недоступностью.</w:t>
      </w:r>
    </w:p>
    <w:p>
      <w:pPr>
        <w:ind w:firstLine="454"/>
      </w:pPr>
      <w:r>
        <w:t>10.4. Для возврата Пользователь направляет заявление с указанием причины, данных Аккаунта, даты и суммы платежа. Возврат производится тем же способом, которым была выполнена оплата, когда это технически возможно.</w:t>
      </w:r>
    </w:p>
    <w:p>
      <w:pPr>
        <w:ind w:firstLine="454"/>
      </w:pPr>
      <w:r>
        <w:t>10.5. Настоящий раздел не ограничивает императивные права Пользователя, которые не могут быть исключены соглашением сторон.</w:t>
      </w:r>
    </w:p>
    <w:p>
      <w:pPr>
        <w:pStyle w:val="HeadingCustom"/>
        <w:pageBreakBefore w:val="0"/>
      </w:pPr>
      <w:r>
        <w:t>11. Порядок сдачи и приемки</w:t>
      </w:r>
    </w:p>
    <w:p>
      <w:pPr>
        <w:ind w:firstLine="454"/>
      </w:pPr>
      <w:r>
        <w:t>11.1. Обязательство по предоставлению доступа считается исполненным с момента активации оплаченного Тарифа. Сопутствующие услуги оказываются в течение Расчетного периода.</w:t>
      </w:r>
    </w:p>
    <w:p>
      <w:pPr>
        <w:ind w:firstLine="454"/>
      </w:pPr>
      <w:r>
        <w:t>11.2. По окончании Расчетного периода услуги считаются принятыми, если в течение 10 рабочих дней Пользователь не направил мотивированные возражения с описанием конкретного нарушения, даты, функции и подтверждающих материалов.</w:t>
      </w:r>
    </w:p>
    <w:p>
      <w:pPr>
        <w:ind w:firstLine="454"/>
      </w:pPr>
      <w:r>
        <w:t>11.3. Истечение указанного срока не лишает Пользователя права ссылаться на скрытые недостатки и иные нарушения, которые объективно не могли быть обнаружены ранее, а также не отменяет права, предоставленные законом.</w:t>
      </w:r>
    </w:p>
    <w:p>
      <w:pPr>
        <w:ind w:firstLine="454"/>
      </w:pPr>
      <w:r>
        <w:t>11.4. Акт, универсальный передаточный документ или иной закрывающий документ предоставляется через электронный документооборот либо по электронной почте, если обязанность его оформления следует из закона, Тарифа или отдельного запроса Пользователя.</w:t>
      </w:r>
    </w:p>
    <w:p>
      <w:pPr>
        <w:pStyle w:val="HeadingCustom"/>
        <w:pageBreakBefore w:val="0"/>
      </w:pPr>
      <w:r>
        <w:t>12. Приостановление и прекращение доступа</w:t>
      </w:r>
    </w:p>
    <w:p>
      <w:pPr>
        <w:ind w:firstLine="454"/>
      </w:pPr>
      <w:r>
        <w:t>12.1. Исполнитель вправе временно приостановить доступ полностью или частично при: неоплате; угрозе безопасности; попытке несанкционированного доступа; нарушении раздела 8; поступлении обязательного требования государственного органа; необходимости предотвратить ущерб Пользователю, Исполнителю или третьим лицам.</w:t>
      </w:r>
    </w:p>
    <w:p>
      <w:pPr>
        <w:ind w:firstLine="454"/>
      </w:pPr>
      <w:r>
        <w:t>12.2. Если нарушение допускает устранение, Исполнитель по возможности уведомляет Пользователя и предоставляет разумный срок для исправления. При грубом, повторном или создающем угрозу нарушении доступ может быть ограничен немедленно.</w:t>
      </w:r>
    </w:p>
    <w:p>
      <w:pPr>
        <w:ind w:firstLine="454"/>
      </w:pPr>
      <w:r>
        <w:t>12.3. Приостановление по причине нарушения Пользователя не продлевает оплаченный период и не влечет возврата. Если блокировка признана ошибочной, срок доступа продлевается на период полной недоступности.</w:t>
      </w:r>
    </w:p>
    <w:p>
      <w:pPr>
        <w:ind w:firstLine="454"/>
      </w:pPr>
      <w:r>
        <w:t>12.4. Пользователь вправе прекратить использование Сервиса в любое время, отключить автоматическое продление и направить запрос на удаление Аккаунта. Прекращение использования само по себе не влечет возврата за уже активированный период.</w:t>
      </w:r>
    </w:p>
    <w:p>
      <w:pPr>
        <w:ind w:firstLine="454"/>
      </w:pPr>
      <w:r>
        <w:t>12.5. Если Исполнитель прекращает работу Сервиса до окончания оплаченного периода не вследствие нарушения Пользователя, Исполнитель возвращает стоимость неиспользованного периода пропорционально оставшемуся сроку либо предлагает равноценную замену с согласия Пользователя.</w:t>
      </w:r>
    </w:p>
    <w:p>
      <w:pPr>
        <w:pStyle w:val="HeadingCustom"/>
        <w:pageBreakBefore w:val="0"/>
      </w:pPr>
      <w:r>
        <w:t>13. Интеллектуальная собственность</w:t>
      </w:r>
    </w:p>
    <w:p>
      <w:pPr>
        <w:ind w:firstLine="454"/>
      </w:pPr>
      <w:r>
        <w:t>13.1. Исключительные права на Сервис, программный код, дизайн, базы данных, тексты, обозначения и Документацию принадлежат Исполнителю либо соответствующим правообладателям.</w:t>
      </w:r>
    </w:p>
    <w:p>
      <w:pPr>
        <w:ind w:firstLine="454"/>
      </w:pPr>
      <w:r>
        <w:t>13.2. На срок действия Тарифа Пользователю предоставляется простое, неисключительное, непередаваемое право использовать доступный функционал Сервиса через интерфейс и API исключительно для собственных предпринимательских нужд.</w:t>
      </w:r>
    </w:p>
    <w:p>
      <w:pPr>
        <w:ind w:firstLine="454"/>
      </w:pPr>
      <w:r>
        <w:t>13.3. Пользователь сохраняет права на загружаемые им материалы и предоставляет Исполнителю ограниченное право технически обрабатывать такие материалы только в объеме, необходимом для исполнения Договора.</w:t>
      </w:r>
    </w:p>
    <w:p>
      <w:pPr>
        <w:ind w:firstLine="454"/>
      </w:pPr>
      <w:r>
        <w:t>13.4. Наименование и товарные знаки Яндекс Маркета принадлежат их правообладателям. Упоминание Яндекс Маркета носит информационный характер и не означает партнерство или одобрение Сервиса со стороны Яндекса.</w:t>
      </w:r>
    </w:p>
    <w:p>
      <w:pPr>
        <w:pStyle w:val="HeadingCustom"/>
        <w:pageBreakBefore w:val="0"/>
      </w:pPr>
      <w:r>
        <w:t>14. Конфиденциальность и персональные данные</w:t>
      </w:r>
    </w:p>
    <w:p>
      <w:pPr>
        <w:ind w:firstLine="454"/>
      </w:pPr>
      <w:r>
        <w:t>14.1. Стороны обязуются не раскрывать полученную при исполнении Договора конфиденциальную информацию, включая API-ключи, сведения об Аккаунте, настройках, продажах и коммерческих показателях, кроме случаев, необходимых для исполнения Договора или предусмотренных законом.</w:t>
      </w:r>
    </w:p>
    <w:p>
      <w:pPr>
        <w:ind w:firstLine="454"/>
      </w:pPr>
      <w:r>
        <w:t>14.2. Обработка персональных данных осуществляется в соответствии с Федеральным законом от 27.07.2006 № 152-ФЗ «О персональных данных» и Политикой обработки персональных данных, размещенной на Сайте.</w:t>
      </w:r>
    </w:p>
    <w:p>
      <w:pPr>
        <w:ind w:firstLine="454"/>
      </w:pPr>
      <w:r>
        <w:t>14.3. Данные, необходимые для регистрации и исполнения Договора, могут обрабатываться на основании заключения и исполнения Договора. Для действий, требующих отдельного согласия, Исполнитель получает такое согласие отдельно.</w:t>
      </w:r>
    </w:p>
    <w:p>
      <w:pPr>
        <w:ind w:firstLine="454"/>
      </w:pPr>
      <w:r>
        <w:t>14.4. Исполнитель вправе поручать обработку данных техническим подрядчикам в объеме, необходимом для хостинга, платежей, доставки сообщений, поддержки и защиты Сервиса, при условии договорного обеспечения конфиденциальности и безопасности.</w:t>
      </w:r>
    </w:p>
    <w:p>
      <w:pPr>
        <w:ind w:firstLine="454"/>
      </w:pPr>
      <w:r>
        <w:t>14.5. Исполнитель не продает персональные данные и коммерческие сведения Пользователя третьим лицам.</w:t>
      </w:r>
    </w:p>
    <w:p>
      <w:pPr>
        <w:ind w:firstLine="454"/>
      </w:pPr>
      <w:r>
        <w:t>14.6. Публикация названия Пользователя, логотипа, отзывов, скриншотов, показателей и описания сотрудничества в качестве кейса допускается только на основании отдельного согласия Пользователя.</w:t>
      </w:r>
    </w:p>
    <w:p>
      <w:pPr>
        <w:ind w:firstLine="454"/>
      </w:pPr>
      <w:r>
        <w:t>14.7. После прекращения Договора данные удаляются или обезличиваются в сроки, установленные Политикой обработки персональных данных, за исключением сведений, которые Исполнитель обязан хранить по закону или для защиты своих прав.</w:t>
      </w:r>
    </w:p>
    <w:p>
      <w:pPr>
        <w:pStyle w:val="HeadingCustom"/>
        <w:pageBreakBefore w:val="0"/>
      </w:pPr>
      <w:r>
        <w:t>15. Доступность Сервиса и технические ограничения</w:t>
      </w:r>
    </w:p>
    <w:p>
      <w:pPr>
        <w:ind w:firstLine="454"/>
      </w:pPr>
      <w:r>
        <w:t>15.1. Сервис предоставляется с учетом текущей технической реализации. Исполнитель стремится обеспечивать стабильную работу, но не гарантирует абсолютную непрерывность, отсутствие ошибок и совместимость со всеми устройствами и программами.</w:t>
      </w:r>
    </w:p>
    <w:p>
      <w:pPr>
        <w:ind w:firstLine="454"/>
      </w:pPr>
      <w:r>
        <w:t>15.2. Исполнитель вправе проводить плановые и аварийные технические работы. При возможности информация о длительных плановых работах размещается в Сервисе или направляется по электронной почте.</w:t>
      </w:r>
    </w:p>
    <w:p>
      <w:pPr>
        <w:ind w:firstLine="454"/>
      </w:pPr>
      <w:r>
        <w:t>15.3. Исполнитель не отвечает за недоступность, вызванную работой Яндекс Маркета, банков, платежных систем, операторов связи, хостинг-провайдеров, сетей общего пользования, действиями Пользователя, вредоносным программным обеспечением или иными обстоятельствами вне разумного контроля Исполнителя.</w:t>
      </w:r>
    </w:p>
    <w:p>
      <w:pPr>
        <w:ind w:firstLine="454"/>
      </w:pPr>
      <w:r>
        <w:t>15.4. При обнаружении ошибки Пользователь должен направить описание, время возникновения, снимки экрана и иные доступные сведения. Исполнитель определяет приоритет и способ исправления с учетом критичности и технической возможности.</w:t>
      </w:r>
    </w:p>
    <w:p>
      <w:pPr>
        <w:pStyle w:val="HeadingCustom"/>
        <w:pageBreakBefore w:val="0"/>
      </w:pPr>
      <w:r>
        <w:t>16. Ответственность сторон</w:t>
      </w:r>
    </w:p>
    <w:p>
      <w:pPr>
        <w:ind w:firstLine="454"/>
      </w:pPr>
      <w:r>
        <w:t>16.1. Стороны несут ответственность в соответствии с законодательством Российской Федерации и условиями Оферты.</w:t>
      </w:r>
    </w:p>
    <w:p>
      <w:pPr>
        <w:ind w:firstLine="454"/>
      </w:pPr>
      <w:r>
        <w:t>16.2. Исполнитель отвечает только за документально подтвержденный реальный ущерб, непосредственно причиненный виновным нарушением Исполнителя. Упущенная выгода, косвенные потери, снижение продаж, потеря позиции товара и расходы, возникшие вследствие коммерческих решений Пользователя, возмещению не подлежат, если иное прямо не установлено императивной нормой закона.</w:t>
      </w:r>
    </w:p>
    <w:p>
      <w:pPr>
        <w:ind w:firstLine="454"/>
      </w:pPr>
      <w:r>
        <w:t>16.3. Совокупная ответственность Исполнителя по одному событию или связанным событиям ограничивается суммой, фактически уплаченной Пользователем за последние три месяца использования Сервиса, а если срок использования меньше — суммой за фактический период. Ограничение не применяется при умышленном нарушении и в иных случаях, когда ограничение ответственности запрещено законом.</w:t>
      </w:r>
    </w:p>
    <w:p>
      <w:pPr>
        <w:ind w:firstLine="454"/>
      </w:pPr>
      <w:r>
        <w:t>16.4. Исполнитель не отвечает за достоверность данных, полученных от Яндекс Маркета или Пользователя, за решения и настройки Пользователя, за расходы на продвижение и комиссии Яндекс Маркета, а также за последствия отзыва или неправильной настройки API-ключа.</w:t>
      </w:r>
    </w:p>
    <w:p>
      <w:pPr>
        <w:ind w:firstLine="454"/>
      </w:pPr>
      <w:r>
        <w:t>16.5. Пользователь возмещает Исполнителю документально подтвержденные убытки, возникшие вследствие незаконного использования Сервиса, нарушения прав третьих лиц, передачи недостоверных данных или отсутствия полномочий на подключение кабинета Яндекс Маркета.</w:t>
      </w:r>
    </w:p>
    <w:p>
      <w:pPr>
        <w:pStyle w:val="HeadingCustom"/>
        <w:pageBreakBefore w:val="0"/>
      </w:pPr>
      <w:r>
        <w:t>17. Обстоятельства непреодолимой силы</w:t>
      </w:r>
    </w:p>
    <w:p>
      <w:pPr>
        <w:ind w:firstLine="454"/>
      </w:pPr>
      <w:r>
        <w:t>17.1. Сторона освобождается от ответственности за неисполнение обязательств, вызванное чрезвычайными и непредотвратимыми обстоятельствами, возникшими после заключения Договора, включая стихийные бедствия, военные действия, массовые сбои связи и энергоснабжения, запреты государственных органов, масштабные кибератаки и иные обстоятельства непреодолимой силы.</w:t>
      </w:r>
    </w:p>
    <w:p>
      <w:pPr>
        <w:ind w:firstLine="454"/>
      </w:pPr>
      <w:r>
        <w:t>17.2. Сторона уведомляет другую сторону о таких обстоятельствах в разумный срок. Обязательства по оплате уже предоставленного доступа и оказанных услуг не прекращаются.</w:t>
      </w:r>
    </w:p>
    <w:p>
      <w:pPr>
        <w:pStyle w:val="HeadingCustom"/>
        <w:pageBreakBefore w:val="0"/>
      </w:pPr>
      <w:r>
        <w:t>18. Изменение Оферты и Тарифов</w:t>
      </w:r>
    </w:p>
    <w:p>
      <w:pPr>
        <w:ind w:firstLine="454"/>
      </w:pPr>
      <w:r>
        <w:t>18.1. Исполнитель вправе изменять Оферту, Документацию и Тарифы путем публикации новой редакции на Сайте.</w:t>
      </w:r>
    </w:p>
    <w:p>
      <w:pPr>
        <w:ind w:firstLine="454"/>
      </w:pPr>
      <w:r>
        <w:t>18.2. Существенные изменения, ухудшающие положение Пользователя, применяются к следующему оплаченному периоду, если необходимость немедленного изменения не вызвана законом, требованиями безопасности или изменениями внешних платформ.</w:t>
      </w:r>
    </w:p>
    <w:p>
      <w:pPr>
        <w:ind w:firstLine="454"/>
      </w:pPr>
      <w:r>
        <w:t>18.3. Продолжение использования Сервиса после вступления новой редакции в силу означает согласие Пользователя с изменениями. При несогласии Пользователь обязан прекратить использование и отключить автоматическое продление до следующего списания.</w:t>
      </w:r>
    </w:p>
    <w:p>
      <w:pPr>
        <w:ind w:firstLine="454"/>
      </w:pPr>
      <w:r>
        <w:t>18.4. Актуальная редакция Оферты размещается на Сайте. Пользователь обязан проверять редакцию перед оплатой нового периода.</w:t>
      </w:r>
    </w:p>
    <w:p>
      <w:pPr>
        <w:pStyle w:val="HeadingCustom"/>
        <w:pageBreakBefore w:val="0"/>
      </w:pPr>
      <w:r>
        <w:t>19. Электронный документооборот и уведомления</w:t>
      </w:r>
    </w:p>
    <w:p>
      <w:pPr>
        <w:ind w:firstLine="454"/>
      </w:pPr>
      <w:r>
        <w:t>19.1. Стороны признают юридическую силу сообщений и документов, направленных через Аккаунт, электронную почту и системы электронного документооборота, если можно достоверно установить отправителя.</w:t>
      </w:r>
    </w:p>
    <w:p>
      <w:pPr>
        <w:ind w:firstLine="454"/>
      </w:pPr>
      <w:r>
        <w:t>19.2. Использование логина, пароля, кода подтверждения или авторизованной сессии признается простой электронной подписью Пользователя в отношениях, связанных с Договором, если закон не требует усиленной электронной подписи.</w:t>
      </w:r>
    </w:p>
    <w:p>
      <w:pPr>
        <w:ind w:firstLine="454"/>
      </w:pPr>
      <w:r>
        <w:t>19.3. Официальным адресом Пользователя считается адрес, указанный в Аккаунте. Официальный адрес Исполнителя: resheniya.for.business@yandex.ru.</w:t>
      </w:r>
    </w:p>
    <w:p>
      <w:pPr>
        <w:ind w:firstLine="454"/>
      </w:pPr>
      <w:r>
        <w:t>19.4. Пользователь обязан поддерживать адрес электронной почты в рабочем состоянии. Сообщение считается полученным на следующий рабочий день после отправки, если отправитель не получил автоматическое уведомление о недоставке.</w:t>
      </w:r>
    </w:p>
    <w:p>
      <w:pPr>
        <w:pStyle w:val="HeadingCustom"/>
        <w:pageBreakBefore w:val="0"/>
      </w:pPr>
      <w:r>
        <w:t>20. Претензионный порядок и споры</w:t>
      </w:r>
    </w:p>
    <w:p>
      <w:pPr>
        <w:ind w:firstLine="454"/>
      </w:pPr>
      <w:r>
        <w:t>20.1. До обращения в суд сторона направляет письменную претензию по электронной почте и, при необходимости, через ЭДО или заказным письмом. Срок ответа — 10 рабочих дней с даты получения, если иной срок не установлен законом.</w:t>
      </w:r>
    </w:p>
    <w:p>
      <w:pPr>
        <w:ind w:firstLine="454"/>
      </w:pPr>
      <w:r>
        <w:t>20.2. К Договору применяется законодательство Российской Федерации.</w:t>
      </w:r>
    </w:p>
    <w:p>
      <w:pPr>
        <w:ind w:firstLine="454"/>
      </w:pPr>
      <w:r>
        <w:t>20.3. Споры с юридическими лицами и индивидуальными предпринимателями подлежат рассмотрению в Арбитражном суде города Москвы, если иная исключительная подсудность не установлена законом.</w:t>
      </w:r>
    </w:p>
    <w:p>
      <w:pPr>
        <w:ind w:firstLine="454"/>
      </w:pPr>
      <w:r>
        <w:t>20.4. Споры с плательщиками налога на профессиональный доход, не подведомственные арбитражному суду, рассматриваются судом по правилам подсудности, установленным законодательством Российской Федерации.</w:t>
      </w:r>
    </w:p>
    <w:p>
      <w:pPr>
        <w:pStyle w:val="HeadingCustom"/>
        <w:pageBreakBefore w:val="0"/>
      </w:pPr>
      <w:r>
        <w:t>21. Срок действия и заключительные положения</w:t>
      </w:r>
    </w:p>
    <w:p>
      <w:pPr>
        <w:ind w:firstLine="454"/>
      </w:pPr>
      <w:r>
        <w:t>21.1. Договор вступает в силу с момента акцепта и действует до полного исполнения обязательств либо прекращения в порядке Оферты.</w:t>
      </w:r>
    </w:p>
    <w:p>
      <w:pPr>
        <w:ind w:firstLine="454"/>
      </w:pPr>
      <w:r>
        <w:t>21.2. Недействительность отдельного положения не влечет недействительности остальных условий. Вместо недействительного положения применяется допустимое условие, наиболее близкое к первоначальной цели.</w:t>
      </w:r>
    </w:p>
    <w:p>
      <w:pPr>
        <w:ind w:firstLine="454"/>
      </w:pPr>
      <w:r>
        <w:t>21.3. Оферта вместе с выбранным Тарифом, Политикой обработки персональных данных и применимой Документацией образует единое соглашение сторон.</w:t>
      </w:r>
    </w:p>
    <w:p>
      <w:pPr>
        <w:ind w:firstLine="454"/>
      </w:pPr>
      <w:r>
        <w:t>21.4. Заголовки разделов используются для удобства и не влияют на толкование условий.</w:t>
      </w:r>
    </w:p>
    <w:p>
      <w:pPr>
        <w:pStyle w:val="HeadingCustom"/>
      </w:pPr>
      <w:r>
        <w:t>22. Реквизиты Исполнителя</w:t>
      </w:r>
    </w:p>
    <w:tbl>
      <w:tblPr>
        <w:tblW w:type="auto" w:w="0"/>
        <w:jc w:val="center"/>
        <w:tblLayout w:type="fixed"/>
        <w:tblLook w:firstColumn="1" w:firstRow="1" w:lastColumn="0" w:lastRow="0" w:noHBand="0" w:noVBand="1" w:val="04A0"/>
      </w:tblPr>
      <w:tblGrid>
        <w:gridCol w:w="5014"/>
        <w:gridCol w:w="5014"/>
      </w:tblGrid>
      <w:tr>
        <w:tc>
          <w:tcPr>
            <w:tcW w:type="dxa" w:w="2835"/>
            <w:vAlign w:val="top"/>
            <w:tcBorders>
              <w:top w:val="single" w:sz="4" w:color="D9D9D9"/>
              <w:left w:val="single" w:sz="4" w:color="D9D9D9"/>
              <w:bottom w:val="single" w:sz="4" w:color="D9D9D9"/>
              <w:right w:val="single" w:sz="4" w:color="D9D9D9"/>
              <w:insideH w:val="single" w:sz="4" w:color="D9D9D9"/>
              <w:insideV w:val="single" w:sz="4" w:color="D9D9D9"/>
            </w:tcBorders>
            <w:shd w:fill="F7F7F7"/>
          </w:tcPr>
          <w:p>
            <w:pPr>
              <w:spacing w:after="40"/>
            </w:pPr>
            <w:r>
              <w:rPr>
                <w:rFonts w:ascii="Liberation Sans" w:hAnsi="Liberation Sans"/>
                <w:b/>
                <w:sz w:val="19"/>
              </w:rPr>
              <w:t>Исполнитель</w:t>
            </w:r>
          </w:p>
        </w:tc>
        <w:tc>
          <w:tcPr>
            <w:tcW w:type="dxa" w:w="6406"/>
            <w:vAlign w:val="top"/>
            <w:tcBorders>
              <w:top w:val="single" w:sz="4" w:color="D9D9D9"/>
              <w:left w:val="single" w:sz="4" w:color="D9D9D9"/>
              <w:bottom w:val="single" w:sz="4" w:color="D9D9D9"/>
              <w:right w:val="single" w:sz="4" w:color="D9D9D9"/>
              <w:insideH w:val="single" w:sz="4" w:color="D9D9D9"/>
              <w:insideV w:val="single" w:sz="4" w:color="D9D9D9"/>
            </w:tcBorders>
            <w:shd w:fill="F7F7F7"/>
          </w:tcPr>
          <w:p>
            <w:pPr>
              <w:spacing w:after="40"/>
            </w:pPr>
            <w:r>
              <w:rPr>
                <w:rFonts w:ascii="Liberation Serif" w:hAnsi="Liberation Serif"/>
                <w:sz w:val="19"/>
              </w:rPr>
              <w:t>Индивидуальный предприниматель Билюкин Владимир Юрьевич</w:t>
            </w:r>
          </w:p>
        </w:tc>
      </w:tr>
      <w:tr>
        <w:tc>
          <w:tcPr>
            <w:tcW w:type="dxa" w:w="2835"/>
            <w:vAlign w:val="top"/>
            <w:tcBorders>
              <w:top w:val="single" w:sz="4" w:color="D9D9D9"/>
              <w:left w:val="single" w:sz="4" w:color="D9D9D9"/>
              <w:bottom w:val="single" w:sz="4" w:color="D9D9D9"/>
              <w:right w:val="single" w:sz="4" w:color="D9D9D9"/>
              <w:insideH w:val="single" w:sz="4" w:color="D9D9D9"/>
              <w:insideV w:val="single" w:sz="4" w:color="D9D9D9"/>
            </w:tcBorders>
          </w:tcPr>
          <w:p>
            <w:pPr>
              <w:spacing w:after="40"/>
            </w:pPr>
            <w:r>
              <w:rPr>
                <w:rFonts w:ascii="Liberation Sans" w:hAnsi="Liberation Sans"/>
                <w:b/>
                <w:sz w:val="19"/>
              </w:rPr>
              <w:t>ИНН</w:t>
            </w:r>
          </w:p>
        </w:tc>
        <w:tc>
          <w:tcPr>
            <w:tcW w:type="dxa" w:w="6406"/>
            <w:vAlign w:val="top"/>
            <w:tcBorders>
              <w:top w:val="single" w:sz="4" w:color="D9D9D9"/>
              <w:left w:val="single" w:sz="4" w:color="D9D9D9"/>
              <w:bottom w:val="single" w:sz="4" w:color="D9D9D9"/>
              <w:right w:val="single" w:sz="4" w:color="D9D9D9"/>
              <w:insideH w:val="single" w:sz="4" w:color="D9D9D9"/>
              <w:insideV w:val="single" w:sz="4" w:color="D9D9D9"/>
            </w:tcBorders>
          </w:tcPr>
          <w:p>
            <w:pPr>
              <w:spacing w:after="40"/>
            </w:pPr>
            <w:r>
              <w:rPr>
                <w:rFonts w:ascii="Liberation Serif" w:hAnsi="Liberation Serif"/>
                <w:sz w:val="19"/>
              </w:rPr>
              <w:t>771595864352</w:t>
            </w:r>
          </w:p>
        </w:tc>
      </w:tr>
      <w:tr>
        <w:tc>
          <w:tcPr>
            <w:tcW w:type="dxa" w:w="2835"/>
            <w:vAlign w:val="top"/>
            <w:tcBorders>
              <w:top w:val="single" w:sz="4" w:color="D9D9D9"/>
              <w:left w:val="single" w:sz="4" w:color="D9D9D9"/>
              <w:bottom w:val="single" w:sz="4" w:color="D9D9D9"/>
              <w:right w:val="single" w:sz="4" w:color="D9D9D9"/>
              <w:insideH w:val="single" w:sz="4" w:color="D9D9D9"/>
              <w:insideV w:val="single" w:sz="4" w:color="D9D9D9"/>
            </w:tcBorders>
            <w:shd w:fill="F7F7F7"/>
          </w:tcPr>
          <w:p>
            <w:pPr>
              <w:spacing w:after="40"/>
            </w:pPr>
            <w:r>
              <w:rPr>
                <w:rFonts w:ascii="Liberation Sans" w:hAnsi="Liberation Sans"/>
                <w:b/>
                <w:sz w:val="19"/>
              </w:rPr>
              <w:t>ОГРНИП</w:t>
            </w:r>
          </w:p>
        </w:tc>
        <w:tc>
          <w:tcPr>
            <w:tcW w:type="dxa" w:w="6406"/>
            <w:vAlign w:val="top"/>
            <w:tcBorders>
              <w:top w:val="single" w:sz="4" w:color="D9D9D9"/>
              <w:left w:val="single" w:sz="4" w:color="D9D9D9"/>
              <w:bottom w:val="single" w:sz="4" w:color="D9D9D9"/>
              <w:right w:val="single" w:sz="4" w:color="D9D9D9"/>
              <w:insideH w:val="single" w:sz="4" w:color="D9D9D9"/>
              <w:insideV w:val="single" w:sz="4" w:color="D9D9D9"/>
            </w:tcBorders>
            <w:shd w:fill="F7F7F7"/>
          </w:tcPr>
          <w:p>
            <w:pPr>
              <w:spacing w:after="40"/>
            </w:pPr>
            <w:r>
              <w:rPr>
                <w:rFonts w:ascii="Liberation Serif" w:hAnsi="Liberation Serif"/>
                <w:sz w:val="19"/>
              </w:rPr>
              <w:t>322774600423072</w:t>
            </w:r>
          </w:p>
        </w:tc>
      </w:tr>
      <w:tr>
        <w:tc>
          <w:tcPr>
            <w:tcW w:type="dxa" w:w="2835"/>
            <w:vAlign w:val="top"/>
            <w:tcBorders>
              <w:top w:val="single" w:sz="4" w:color="D9D9D9"/>
              <w:left w:val="single" w:sz="4" w:color="D9D9D9"/>
              <w:bottom w:val="single" w:sz="4" w:color="D9D9D9"/>
              <w:right w:val="single" w:sz="4" w:color="D9D9D9"/>
              <w:insideH w:val="single" w:sz="4" w:color="D9D9D9"/>
              <w:insideV w:val="single" w:sz="4" w:color="D9D9D9"/>
            </w:tcBorders>
          </w:tcPr>
          <w:p>
            <w:pPr>
              <w:spacing w:after="40"/>
            </w:pPr>
            <w:r>
              <w:rPr>
                <w:rFonts w:ascii="Liberation Sans" w:hAnsi="Liberation Sans"/>
                <w:b/>
                <w:sz w:val="19"/>
              </w:rPr>
              <w:t>Адрес места нахождения</w:t>
            </w:r>
          </w:p>
        </w:tc>
        <w:tc>
          <w:tcPr>
            <w:tcW w:type="dxa" w:w="6406"/>
            <w:vAlign w:val="top"/>
            <w:tcBorders>
              <w:top w:val="single" w:sz="4" w:color="D9D9D9"/>
              <w:left w:val="single" w:sz="4" w:color="D9D9D9"/>
              <w:bottom w:val="single" w:sz="4" w:color="D9D9D9"/>
              <w:right w:val="single" w:sz="4" w:color="D9D9D9"/>
              <w:insideH w:val="single" w:sz="4" w:color="D9D9D9"/>
              <w:insideV w:val="single" w:sz="4" w:color="D9D9D9"/>
            </w:tcBorders>
          </w:tcPr>
          <w:p>
            <w:pPr>
              <w:spacing w:after="40"/>
            </w:pPr>
            <w:r>
              <w:rPr>
                <w:rFonts w:ascii="Liberation Serif" w:hAnsi="Liberation Serif"/>
                <w:sz w:val="19"/>
              </w:rPr>
              <w:t>г. Москва, Дмитровское шоссе, д. 165/1, ТЦ «БУХТА», павильон 2F7</w:t>
            </w:r>
          </w:p>
        </w:tc>
      </w:tr>
      <w:tr>
        <w:tc>
          <w:tcPr>
            <w:tcW w:type="dxa" w:w="2835"/>
            <w:vAlign w:val="top"/>
            <w:tcBorders>
              <w:top w:val="single" w:sz="4" w:color="D9D9D9"/>
              <w:left w:val="single" w:sz="4" w:color="D9D9D9"/>
              <w:bottom w:val="single" w:sz="4" w:color="D9D9D9"/>
              <w:right w:val="single" w:sz="4" w:color="D9D9D9"/>
              <w:insideH w:val="single" w:sz="4" w:color="D9D9D9"/>
              <w:insideV w:val="single" w:sz="4" w:color="D9D9D9"/>
            </w:tcBorders>
            <w:shd w:fill="F7F7F7"/>
          </w:tcPr>
          <w:p>
            <w:pPr>
              <w:spacing w:after="40"/>
            </w:pPr>
            <w:r>
              <w:rPr>
                <w:rFonts w:ascii="Liberation Sans" w:hAnsi="Liberation Sans"/>
                <w:b/>
                <w:sz w:val="19"/>
              </w:rPr>
              <w:t>Почтовый адрес</w:t>
            </w:r>
          </w:p>
        </w:tc>
        <w:tc>
          <w:tcPr>
            <w:tcW w:type="dxa" w:w="6406"/>
            <w:vAlign w:val="top"/>
            <w:tcBorders>
              <w:top w:val="single" w:sz="4" w:color="D9D9D9"/>
              <w:left w:val="single" w:sz="4" w:color="D9D9D9"/>
              <w:bottom w:val="single" w:sz="4" w:color="D9D9D9"/>
              <w:right w:val="single" w:sz="4" w:color="D9D9D9"/>
              <w:insideH w:val="single" w:sz="4" w:color="D9D9D9"/>
              <w:insideV w:val="single" w:sz="4" w:color="D9D9D9"/>
            </w:tcBorders>
            <w:shd w:fill="F7F7F7"/>
          </w:tcPr>
          <w:p>
            <w:pPr>
              <w:spacing w:after="40"/>
            </w:pPr>
            <w:r>
              <w:rPr>
                <w:rFonts w:ascii="Liberation Serif" w:hAnsi="Liberation Serif"/>
                <w:sz w:val="19"/>
              </w:rPr>
              <w:t>127495, г. Москва, бульвар Академика Ландау, д. 5, корп. 2, кв. 73</w:t>
            </w:r>
          </w:p>
        </w:tc>
      </w:tr>
      <w:tr>
        <w:tc>
          <w:tcPr>
            <w:tcW w:type="dxa" w:w="2835"/>
            <w:vAlign w:val="top"/>
            <w:tcBorders>
              <w:top w:val="single" w:sz="4" w:color="D9D9D9"/>
              <w:left w:val="single" w:sz="4" w:color="D9D9D9"/>
              <w:bottom w:val="single" w:sz="4" w:color="D9D9D9"/>
              <w:right w:val="single" w:sz="4" w:color="D9D9D9"/>
              <w:insideH w:val="single" w:sz="4" w:color="D9D9D9"/>
              <w:insideV w:val="single" w:sz="4" w:color="D9D9D9"/>
            </w:tcBorders>
          </w:tcPr>
          <w:p>
            <w:pPr>
              <w:spacing w:after="40"/>
            </w:pPr>
            <w:r>
              <w:rPr>
                <w:rFonts w:ascii="Liberation Sans" w:hAnsi="Liberation Sans"/>
                <w:b/>
                <w:sz w:val="19"/>
              </w:rPr>
              <w:t>Телефон</w:t>
            </w:r>
          </w:p>
        </w:tc>
        <w:tc>
          <w:tcPr>
            <w:tcW w:type="dxa" w:w="6406"/>
            <w:vAlign w:val="top"/>
            <w:tcBorders>
              <w:top w:val="single" w:sz="4" w:color="D9D9D9"/>
              <w:left w:val="single" w:sz="4" w:color="D9D9D9"/>
              <w:bottom w:val="single" w:sz="4" w:color="D9D9D9"/>
              <w:right w:val="single" w:sz="4" w:color="D9D9D9"/>
              <w:insideH w:val="single" w:sz="4" w:color="D9D9D9"/>
              <w:insideV w:val="single" w:sz="4" w:color="D9D9D9"/>
            </w:tcBorders>
          </w:tcPr>
          <w:p>
            <w:pPr>
              <w:spacing w:after="40"/>
            </w:pPr>
            <w:r>
              <w:rPr>
                <w:rFonts w:ascii="Liberation Serif" w:hAnsi="Liberation Serif"/>
                <w:sz w:val="19"/>
              </w:rPr>
              <w:t>+7 968 888-19-38</w:t>
            </w:r>
          </w:p>
        </w:tc>
      </w:tr>
      <w:tr>
        <w:tc>
          <w:tcPr>
            <w:tcW w:type="dxa" w:w="2835"/>
            <w:vAlign w:val="top"/>
            <w:tcBorders>
              <w:top w:val="single" w:sz="4" w:color="D9D9D9"/>
              <w:left w:val="single" w:sz="4" w:color="D9D9D9"/>
              <w:bottom w:val="single" w:sz="4" w:color="D9D9D9"/>
              <w:right w:val="single" w:sz="4" w:color="D9D9D9"/>
              <w:insideH w:val="single" w:sz="4" w:color="D9D9D9"/>
              <w:insideV w:val="single" w:sz="4" w:color="D9D9D9"/>
            </w:tcBorders>
            <w:shd w:fill="F7F7F7"/>
          </w:tcPr>
          <w:p>
            <w:pPr>
              <w:spacing w:after="40"/>
            </w:pPr>
            <w:r>
              <w:rPr>
                <w:rFonts w:ascii="Liberation Sans" w:hAnsi="Liberation Sans"/>
                <w:b/>
                <w:sz w:val="19"/>
              </w:rPr>
              <w:t>Электронная почта</w:t>
            </w:r>
          </w:p>
        </w:tc>
        <w:tc>
          <w:tcPr>
            <w:tcW w:type="dxa" w:w="6406"/>
            <w:vAlign w:val="top"/>
            <w:tcBorders>
              <w:top w:val="single" w:sz="4" w:color="D9D9D9"/>
              <w:left w:val="single" w:sz="4" w:color="D9D9D9"/>
              <w:bottom w:val="single" w:sz="4" w:color="D9D9D9"/>
              <w:right w:val="single" w:sz="4" w:color="D9D9D9"/>
              <w:insideH w:val="single" w:sz="4" w:color="D9D9D9"/>
              <w:insideV w:val="single" w:sz="4" w:color="D9D9D9"/>
            </w:tcBorders>
            <w:shd w:fill="F7F7F7"/>
          </w:tcPr>
          <w:p>
            <w:pPr>
              <w:spacing w:after="40"/>
            </w:pPr>
            <w:r>
              <w:rPr>
                <w:rFonts w:ascii="Liberation Serif" w:hAnsi="Liberation Serif"/>
                <w:sz w:val="19"/>
              </w:rPr>
              <w:t>resheniya.for.business@yandex.ru</w:t>
            </w:r>
          </w:p>
        </w:tc>
      </w:tr>
      <w:tr>
        <w:tc>
          <w:tcPr>
            <w:tcW w:type="dxa" w:w="2835"/>
            <w:vAlign w:val="top"/>
            <w:tcBorders>
              <w:top w:val="single" w:sz="4" w:color="D9D9D9"/>
              <w:left w:val="single" w:sz="4" w:color="D9D9D9"/>
              <w:bottom w:val="single" w:sz="4" w:color="D9D9D9"/>
              <w:right w:val="single" w:sz="4" w:color="D9D9D9"/>
              <w:insideH w:val="single" w:sz="4" w:color="D9D9D9"/>
              <w:insideV w:val="single" w:sz="4" w:color="D9D9D9"/>
            </w:tcBorders>
          </w:tcPr>
          <w:p>
            <w:pPr>
              <w:spacing w:after="40"/>
            </w:pPr>
            <w:r>
              <w:rPr>
                <w:rFonts w:ascii="Liberation Sans" w:hAnsi="Liberation Sans"/>
                <w:b/>
                <w:sz w:val="19"/>
              </w:rPr>
              <w:t>Сайт</w:t>
            </w:r>
          </w:p>
        </w:tc>
        <w:tc>
          <w:tcPr>
            <w:tcW w:type="dxa" w:w="6406"/>
            <w:vAlign w:val="top"/>
            <w:tcBorders>
              <w:top w:val="single" w:sz="4" w:color="D9D9D9"/>
              <w:left w:val="single" w:sz="4" w:color="D9D9D9"/>
              <w:bottom w:val="single" w:sz="4" w:color="D9D9D9"/>
              <w:right w:val="single" w:sz="4" w:color="D9D9D9"/>
              <w:insideH w:val="single" w:sz="4" w:color="D9D9D9"/>
              <w:insideV w:val="single" w:sz="4" w:color="D9D9D9"/>
            </w:tcBorders>
          </w:tcPr>
          <w:p>
            <w:pPr>
              <w:spacing w:after="40"/>
            </w:pPr>
            <w:r>
              <w:rPr>
                <w:rFonts w:ascii="Liberation Serif" w:hAnsi="Liberation Serif"/>
                <w:sz w:val="19"/>
              </w:rPr>
              <w:t>https://market-autopilot.ru</w:t>
            </w:r>
          </w:p>
        </w:tc>
      </w:tr>
      <w:tr>
        <w:tc>
          <w:tcPr>
            <w:tcW w:type="dxa" w:w="2835"/>
            <w:vAlign w:val="top"/>
            <w:tcBorders>
              <w:top w:val="single" w:sz="4" w:color="D9D9D9"/>
              <w:left w:val="single" w:sz="4" w:color="D9D9D9"/>
              <w:bottom w:val="single" w:sz="4" w:color="D9D9D9"/>
              <w:right w:val="single" w:sz="4" w:color="D9D9D9"/>
              <w:insideH w:val="single" w:sz="4" w:color="D9D9D9"/>
              <w:insideV w:val="single" w:sz="4" w:color="D9D9D9"/>
            </w:tcBorders>
            <w:shd w:fill="F7F7F7"/>
          </w:tcPr>
          <w:p>
            <w:pPr>
              <w:spacing w:after="40"/>
            </w:pPr>
            <w:r>
              <w:rPr>
                <w:rFonts w:ascii="Liberation Sans" w:hAnsi="Liberation Sans"/>
                <w:b/>
                <w:sz w:val="19"/>
              </w:rPr>
              <w:t>Расчетный счет</w:t>
            </w:r>
          </w:p>
        </w:tc>
        <w:tc>
          <w:tcPr>
            <w:tcW w:type="dxa" w:w="6406"/>
            <w:vAlign w:val="top"/>
            <w:tcBorders>
              <w:top w:val="single" w:sz="4" w:color="D9D9D9"/>
              <w:left w:val="single" w:sz="4" w:color="D9D9D9"/>
              <w:bottom w:val="single" w:sz="4" w:color="D9D9D9"/>
              <w:right w:val="single" w:sz="4" w:color="D9D9D9"/>
              <w:insideH w:val="single" w:sz="4" w:color="D9D9D9"/>
              <w:insideV w:val="single" w:sz="4" w:color="D9D9D9"/>
            </w:tcBorders>
            <w:shd w:fill="F7F7F7"/>
          </w:tcPr>
          <w:p>
            <w:pPr>
              <w:spacing w:after="40"/>
            </w:pPr>
            <w:r>
              <w:rPr>
                <w:rFonts w:ascii="Liberation Serif" w:hAnsi="Liberation Serif"/>
                <w:sz w:val="19"/>
              </w:rPr>
              <w:t>40802810802540004698</w:t>
            </w:r>
          </w:p>
        </w:tc>
      </w:tr>
      <w:tr>
        <w:tc>
          <w:tcPr>
            <w:tcW w:type="dxa" w:w="2835"/>
            <w:vAlign w:val="top"/>
            <w:tcBorders>
              <w:top w:val="single" w:sz="4" w:color="D9D9D9"/>
              <w:left w:val="single" w:sz="4" w:color="D9D9D9"/>
              <w:bottom w:val="single" w:sz="4" w:color="D9D9D9"/>
              <w:right w:val="single" w:sz="4" w:color="D9D9D9"/>
              <w:insideH w:val="single" w:sz="4" w:color="D9D9D9"/>
              <w:insideV w:val="single" w:sz="4" w:color="D9D9D9"/>
            </w:tcBorders>
          </w:tcPr>
          <w:p>
            <w:pPr>
              <w:spacing w:after="40"/>
            </w:pPr>
            <w:r>
              <w:rPr>
                <w:rFonts w:ascii="Liberation Sans" w:hAnsi="Liberation Sans"/>
                <w:b/>
                <w:sz w:val="19"/>
              </w:rPr>
              <w:t>Банк</w:t>
            </w:r>
          </w:p>
        </w:tc>
        <w:tc>
          <w:tcPr>
            <w:tcW w:type="dxa" w:w="6406"/>
            <w:vAlign w:val="top"/>
            <w:tcBorders>
              <w:top w:val="single" w:sz="4" w:color="D9D9D9"/>
              <w:left w:val="single" w:sz="4" w:color="D9D9D9"/>
              <w:bottom w:val="single" w:sz="4" w:color="D9D9D9"/>
              <w:right w:val="single" w:sz="4" w:color="D9D9D9"/>
              <w:insideH w:val="single" w:sz="4" w:color="D9D9D9"/>
              <w:insideV w:val="single" w:sz="4" w:color="D9D9D9"/>
            </w:tcBorders>
          </w:tcPr>
          <w:p>
            <w:pPr>
              <w:spacing w:after="40"/>
            </w:pPr>
            <w:r>
              <w:rPr>
                <w:rFonts w:ascii="Liberation Serif" w:hAnsi="Liberation Serif"/>
                <w:sz w:val="19"/>
              </w:rPr>
              <w:t>АО «АЛЬФА-БАНК», г. Москва</w:t>
            </w:r>
          </w:p>
        </w:tc>
      </w:tr>
      <w:tr>
        <w:tc>
          <w:tcPr>
            <w:tcW w:type="dxa" w:w="2835"/>
            <w:vAlign w:val="top"/>
            <w:tcBorders>
              <w:top w:val="single" w:sz="4" w:color="D9D9D9"/>
              <w:left w:val="single" w:sz="4" w:color="D9D9D9"/>
              <w:bottom w:val="single" w:sz="4" w:color="D9D9D9"/>
              <w:right w:val="single" w:sz="4" w:color="D9D9D9"/>
              <w:insideH w:val="single" w:sz="4" w:color="D9D9D9"/>
              <w:insideV w:val="single" w:sz="4" w:color="D9D9D9"/>
            </w:tcBorders>
            <w:shd w:fill="F7F7F7"/>
          </w:tcPr>
          <w:p>
            <w:pPr>
              <w:spacing w:after="40"/>
            </w:pPr>
            <w:r>
              <w:rPr>
                <w:rFonts w:ascii="Liberation Sans" w:hAnsi="Liberation Sans"/>
                <w:b/>
                <w:sz w:val="19"/>
              </w:rPr>
              <w:t>Корреспондентский счет</w:t>
            </w:r>
          </w:p>
        </w:tc>
        <w:tc>
          <w:tcPr>
            <w:tcW w:type="dxa" w:w="6406"/>
            <w:vAlign w:val="top"/>
            <w:tcBorders>
              <w:top w:val="single" w:sz="4" w:color="D9D9D9"/>
              <w:left w:val="single" w:sz="4" w:color="D9D9D9"/>
              <w:bottom w:val="single" w:sz="4" w:color="D9D9D9"/>
              <w:right w:val="single" w:sz="4" w:color="D9D9D9"/>
              <w:insideH w:val="single" w:sz="4" w:color="D9D9D9"/>
              <w:insideV w:val="single" w:sz="4" w:color="D9D9D9"/>
            </w:tcBorders>
            <w:shd w:fill="F7F7F7"/>
          </w:tcPr>
          <w:p>
            <w:pPr>
              <w:spacing w:after="40"/>
            </w:pPr>
            <w:r>
              <w:rPr>
                <w:rFonts w:ascii="Liberation Serif" w:hAnsi="Liberation Serif"/>
                <w:sz w:val="19"/>
              </w:rPr>
              <w:t>30101810200000000593</w:t>
            </w:r>
          </w:p>
        </w:tc>
      </w:tr>
      <w:tr>
        <w:tc>
          <w:tcPr>
            <w:tcW w:type="dxa" w:w="2835"/>
            <w:vAlign w:val="top"/>
            <w:tcBorders>
              <w:top w:val="single" w:sz="4" w:color="D9D9D9"/>
              <w:left w:val="single" w:sz="4" w:color="D9D9D9"/>
              <w:bottom w:val="single" w:sz="4" w:color="D9D9D9"/>
              <w:right w:val="single" w:sz="4" w:color="D9D9D9"/>
              <w:insideH w:val="single" w:sz="4" w:color="D9D9D9"/>
              <w:insideV w:val="single" w:sz="4" w:color="D9D9D9"/>
            </w:tcBorders>
          </w:tcPr>
          <w:p>
            <w:pPr>
              <w:spacing w:after="40"/>
            </w:pPr>
            <w:r>
              <w:rPr>
                <w:rFonts w:ascii="Liberation Sans" w:hAnsi="Liberation Sans"/>
                <w:b/>
                <w:sz w:val="19"/>
              </w:rPr>
              <w:t>БИК</w:t>
            </w:r>
          </w:p>
        </w:tc>
        <w:tc>
          <w:tcPr>
            <w:tcW w:type="dxa" w:w="6406"/>
            <w:vAlign w:val="top"/>
            <w:tcBorders>
              <w:top w:val="single" w:sz="4" w:color="D9D9D9"/>
              <w:left w:val="single" w:sz="4" w:color="D9D9D9"/>
              <w:bottom w:val="single" w:sz="4" w:color="D9D9D9"/>
              <w:right w:val="single" w:sz="4" w:color="D9D9D9"/>
              <w:insideH w:val="single" w:sz="4" w:color="D9D9D9"/>
              <w:insideV w:val="single" w:sz="4" w:color="D9D9D9"/>
            </w:tcBorders>
          </w:tcPr>
          <w:p>
            <w:pPr>
              <w:spacing w:after="40"/>
            </w:pPr>
            <w:r>
              <w:rPr>
                <w:rFonts w:ascii="Liberation Serif" w:hAnsi="Liberation Serif"/>
                <w:sz w:val="19"/>
              </w:rPr>
              <w:t>044525593</w:t>
            </w:r>
          </w:p>
        </w:tc>
      </w:tr>
    </w:tbl>
    <w:p>
      <w:pPr>
        <w:keepNext/>
        <w:spacing w:before="200"/>
      </w:pPr>
      <w:r>
        <w:rPr>
          <w:b/>
        </w:rPr>
        <w:t>Место размещения актуальной редакции: https://market-autopilot.ru/offer</w:t>
      </w:r>
    </w:p>
    <w:sectPr w:rsidR="00FC693F" w:rsidRPr="0006063C" w:rsidSect="00034616">
      <w:headerReference w:type="default" r:id="rId9"/>
      <w:footerReference w:type="default" r:id="rId10"/>
      <w:pgSz w:w="12240" w:h="15840"/>
      <w:pgMar w:top="1134" w:right="964" w:bottom="1020" w:left="1247"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646464"/>
        <w:sz w:val="16"/>
      </w:rPr>
      <w:t xml:space="preserve">Публичная оферта «Маркет Автопилот»  •  стр.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color w:val="646464"/>
        <w:sz w:val="16"/>
      </w:rPr>
      <w:t>market-autopilot.ru</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69" w:lineRule="auto" w:after="80"/>
      <w:jc w:val="both"/>
    </w:pPr>
    <w:rPr>
      <w:rFonts w:ascii="Liberation Serif" w:hAnsi="Liberation Serif" w:eastAsia="Liberation Seri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Custom">
    <w:name w:val="TitleCustom"/>
    <w:rPr>
      <w:rFonts w:ascii="Liberation Sans" w:hAnsi="Liberation Sans" w:eastAsia="Liberation Sans"/>
      <w:b/>
      <w:color w:val="1F1F1F"/>
      <w:sz w:val="34"/>
    </w:rPr>
  </w:style>
  <w:style w:type="paragraph" w:customStyle="1" w:styleId="SubtitleCustom">
    <w:name w:val="SubtitleCustom"/>
    <w:rPr>
      <w:rFonts w:ascii="Liberation Sans" w:hAnsi="Liberation Sans" w:eastAsia="Liberation Sans"/>
      <w:b w:val="0"/>
      <w:color w:val="333333"/>
      <w:sz w:val="23"/>
    </w:rPr>
  </w:style>
  <w:style w:type="paragraph" w:customStyle="1" w:styleId="HeadingCustom">
    <w:name w:val="HeadingCustom"/>
    <w:pPr>
      <w:keepNext/>
      <w:spacing w:before="180" w:after="100"/>
    </w:pPr>
    <w:rPr>
      <w:rFonts w:ascii="Liberation Sans" w:hAnsi="Liberation Sans" w:eastAsia="Liberation Sans"/>
      <w:b/>
      <w:color w:val="1F1F1F"/>
      <w:sz w:val="2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Публичная оферта сервиса «Маркет Автопилот»</dc:title>
  <dc:subject>Предоставление доступа к сервису автоматизации продвижения на Яндекс Маркете</dc:subject>
  <dc:creator>ИП Билюкин Владимир Юрьевич</dc:creator>
  <cp:keywords>публичная оферта, Маркет Автопилот, Яндекс Маркет, SaaS</cp:keywords>
  <dc:description>generated by python-docx</dc:description>
  <cp:lastModifiedBy/>
  <cp:revision>1</cp:revision>
  <dcterms:created xsi:type="dcterms:W3CDTF">2013-12-23T23:15:00Z</dcterms:created>
  <dcterms:modified xsi:type="dcterms:W3CDTF">2013-12-23T23:15:00Z</dcterms:modified>
  <cp:category/>
</cp:coreProperties>
</file>